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val="false"/>
          <w:bCs w:val="false"/>
          <w:color w:val="888888"/>
          <w:sz w:val="20"/>
          <w:szCs w:val="20"/>
        </w:rPr>
        <w:t xml:space="preserve">NASA ROSES-25 C.5 Exobiology</w:t>
      </w:r>
    </w:p>
    <w:p>
      <w:pPr>
        <w:spacing w:after="80"/>
        <w:jc w:val="center"/>
      </w:pPr>
      <w:r>
        <w:rPr>
          <w:b w:val="false"/>
          <w:bCs w:val="false"/>
          <w:color w:val="888888"/>
          <w:sz w:val="20"/>
          <w:szCs w:val="20"/>
        </w:rPr>
        <w:t xml:space="preserve">Research Proposal — Phase 1</w:t>
      </w:r>
    </w:p>
    <w:p>
      <w:pPr>
        <w:spacing w:after="60"/>
      </w:pPr>
    </w:p>
    <w:p>
      <w:pPr>
        <w:spacing w:after="80"/>
        <w:jc w:val="center"/>
      </w:pPr>
      <w:r>
        <w:rPr>
          <w:b/>
          <w:bCs/>
          <w:color w:val="1F4E79"/>
          <w:sz w:val="40"/>
          <w:szCs w:val="40"/>
        </w:rPr>
        <w:t xml:space="preserve">Geochemically Realistic Protocell Systems as Ground-Truth</w:t>
      </w:r>
    </w:p>
    <w:p>
      <w:pPr>
        <w:spacing w:after="80"/>
        <w:jc w:val="center"/>
      </w:pPr>
      <w:r>
        <w:rPr>
          <w:b/>
          <w:bCs/>
          <w:color w:val="1F4E79"/>
          <w:sz w:val="40"/>
          <w:szCs w:val="40"/>
        </w:rPr>
        <w:t xml:space="preserve">Analogs for Life Detection in Ocean Worlds:</w:t>
      </w:r>
    </w:p>
    <w:p>
      <w:pPr>
        <w:spacing w:after="80"/>
        <w:jc w:val="center"/>
      </w:pPr>
      <w:r>
        <w:rPr>
          <w:b/>
          <w:bCs/>
          <w:color w:val="2E75B6"/>
          <w:sz w:val="32"/>
          <w:szCs w:val="32"/>
        </w:rPr>
        <w:t xml:space="preserve">A Three-Year Experimental Program</w:t>
      </w:r>
    </w:p>
    <w:p>
      <w:pPr>
        <w:spacing w:after="60"/>
      </w:pPr>
    </w:p>
    <w:p>
      <w:pPr>
        <w:spacing w:after="80"/>
        <w:jc w:val="center"/>
      </w:pPr>
      <w:r>
        <w:rPr>
          <w:b w:val="false"/>
          <w:bCs w:val="false"/>
          <w:color w:val="888888"/>
          <w:sz w:val="18"/>
          <w:szCs w:val="18"/>
        </w:rPr>
        <w:t xml:space="preserve">Derived from: Creating Life From Scratch — A Staged, Ecosystem-Dependent Pathway (v4)</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Principal Investigator</w:t>
            </w:r>
          </w:p>
        </w:tc>
        <w:tc>
          <w:tcPr>
            <w:tcW w:type="dxa" w:w="6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AA0000"/>
                <w:sz w:val="20"/>
                <w:szCs w:val="20"/>
              </w:rPr>
              <w:t xml:space="preserve">[PLACEHOLDER — Caroline [Last Name], Ph.D. Candidate / Researcher]</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Institution</w:t>
            </w:r>
          </w:p>
        </w:tc>
        <w:tc>
          <w:tcPr>
            <w:tcW w:type="dxa" w:w="6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AA0000"/>
                <w:sz w:val="20"/>
                <w:szCs w:val="20"/>
              </w:rPr>
              <w:t xml:space="preserve">[PLACEHOLDER — University of Texas at Dallas, Department of Biological Sciences]</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Co-Investigator</w:t>
            </w:r>
          </w:p>
        </w:tc>
        <w:tc>
          <w:tcPr>
            <w:tcW w:type="dxa" w:w="6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AA0000"/>
                <w:sz w:val="20"/>
                <w:szCs w:val="20"/>
              </w:rPr>
              <w:t xml:space="preserve">[PLACEHOLDER — Jim [Last Name], Conceptual Architect (non-institutional)]</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Program Element</w:t>
            </w:r>
          </w:p>
        </w:tc>
        <w:tc>
          <w:tcPr>
            <w:tcW w:type="dxa" w:w="6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ROSES-25 C.5 Exobiology (No Fixed Due Date — Rolling Submission)</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Point of Contact</w:t>
            </w:r>
          </w:p>
        </w:tc>
        <w:tc>
          <w:tcPr>
            <w:tcW w:type="dxa" w:w="6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Alison Olcott — HQ-EXO@mail.nasa.gov</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Proposed Duration</w:t>
            </w:r>
          </w:p>
        </w:tc>
        <w:tc>
          <w:tcPr>
            <w:tcW w:type="dxa" w:w="6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3 Years</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Proposed Budget</w:t>
            </w:r>
          </w:p>
        </w:tc>
        <w:tc>
          <w:tcPr>
            <w:tcW w:type="dxa" w:w="6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AA0000"/>
                <w:sz w:val="20"/>
                <w:szCs w:val="20"/>
              </w:rPr>
              <w:t xml:space="preserve">[PLACEHOLDER — ~$450,000–$700,000/year | Total: ~$1.35–2.1M]</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AI Use Disclosure</w:t>
            </w:r>
          </w:p>
        </w:tc>
        <w:tc>
          <w:tcPr>
            <w:tcW w:type="dxa" w:w="6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Proposal framework developed with AI assistance (Anthropic Claude). All scientific claims independently verified against primary literature. Per ROSES-25 policy, AI-assisted content is disclosed here.</w:t>
            </w:r>
          </w:p>
        </w:tc>
      </w:tr>
    </w:tbl>
    <w:p>
      <w:pPr>
        <w:spacing w:after="60"/>
      </w:pPr>
    </w:p>
    <w:p>
      <w:pPr>
        <w:spacing w:before="40" w:after="140"/>
        <w:ind w:left="360"/>
      </w:pPr>
      <w:r>
        <w:rPr>
          <w:i/>
          <w:iCs/>
          <w:color w:val="666666"/>
          <w:sz w:val="20"/>
          <w:szCs w:val="20"/>
        </w:rPr>
        <w:t xml:space="preserve">Red fields are placeholders requiring Caroline's input before submission. All scientific content is complete.</w:t>
      </w:r>
    </w:p>
    <w:p>
      <w:pPr>
        <w:pBdr>
          <w:bottom w:val="single" w:color="1F4E79" w:sz="4" w:space="1"/>
        </w:pBdr>
        <w:spacing w:before="120" w:after="120"/>
      </w:pPr>
    </w:p>
    <w:p>
      <w:pPr>
        <w:pStyle w:val="Heading1"/>
      </w:pPr>
      <w:r>
        <w:rPr>
          <w:b/>
          <w:bCs/>
        </w:rPr>
        <w:t xml:space="preserve">1. Executive Summary</w:t>
      </w:r>
    </w:p>
    <w:p>
      <w:pPr>
        <w:spacing w:after="160"/>
      </w:pPr>
      <w:r>
        <w:t xml:space="preserve">This proposal requests three years of support to construct, validate, and operate a geochemically realistic microfluidic reactor system designed to produce stable, informationally active protocells under conditions directly analogous to active ocean-world hydrothermal environments — specifically the inferred seafloor chemistry of Europa and the hydrothermal plume system of Enceladus as characterized by the Cassini INMS instrument.</w:t>
      </w:r>
    </w:p>
    <w:p>
      <w:pPr>
        <w:spacing w:after="160"/>
      </w:pPr>
      <w:r>
        <w:t xml:space="preserve">The central scientific question is not 'Can we create life?' It is: 'What is the minimum physicochemical parameter space required for informational polymer chemistry to achieve heritable, selectable continuity under geochemically plausible conditions?' The answer directly constrains biosignature interpretation frameworks for ocean-world life detection — defining what to look for, how simple it could be, and what environmental conditions must exist to support it.</w:t>
      </w:r>
    </w:p>
    <w:p>
      <w:pPr>
        <w:spacing w:after="160"/>
      </w:pPr>
      <w:r>
        <w:t xml:space="preserve">Phase 1 (this proposal) stands alone as a complete scientific program with high-value deliverables regardless of whether subsequent phases are funded. The three-year deliverable is a validated, publication-ready experimental system demonstrating: (1) stable protocell formation under Europa/Enceladus analog geochemistry; (2) encapsulation of informationally active polymers with measurable sequence fidelity; and (3) quantitative characterization of the fidelity threshold barrier under realistic geochemical noise — directly informing what conditions are necessary and sufficient for informational chemistry to persist on ocean worlds.</w:t>
      </w:r>
    </w:p>
    <w:p>
      <w:pPr>
        <w:spacing w:after="160"/>
      </w:pPr>
      <w:r>
        <w:t xml:space="preserve">Translation machinery, synthetic scaffolds, and artificial life creation are explicitly outside the scope of this proposal. Phase 1 is prebiotic chemistry and planetary analog science. It produces results regardless of outcome.</w:t>
      </w:r>
    </w:p>
    <w:p>
      <w:pPr>
        <w:pBdr>
          <w:bottom w:val="single" w:color="1F4E79" w:sz="4" w:space="1"/>
        </w:pBdr>
        <w:spacing w:before="120" w:after="120"/>
      </w:pPr>
    </w:p>
    <w:p>
      <w:pPr>
        <w:pStyle w:val="Heading1"/>
      </w:pPr>
      <w:r>
        <w:rPr>
          <w:b/>
          <w:bCs/>
        </w:rPr>
        <w:t xml:space="preserve">2. Astrobiological Significance and NASA Mission Relevance</w:t>
      </w:r>
    </w:p>
    <w:p>
      <w:pPr>
        <w:pStyle w:val="Heading2"/>
      </w:pPr>
      <w:r>
        <w:rPr>
          <w:b/>
          <w:bCs/>
        </w:rPr>
        <w:t xml:space="preserve">2.1 The Core Life-Detection Problem This Work Addresses</w:t>
      </w:r>
    </w:p>
    <w:p>
      <w:pPr>
        <w:spacing w:after="160"/>
      </w:pPr>
      <w:r>
        <w:t xml:space="preserve">Current biosignature frameworks largely assume that detectable life must be metabolically active, genomically complex, or producing chemical disequilibrium at scales accessible to orbital or flyby instruments. The 2025 discovery of Candidatus Sukunaarchaeum mirabile — an archaeon with only 238 kilobase pairs (~189 protein-coding genes), no detectable metabolism, and total dependence on its host for all biosynthetic functions — demonstrates that this assumption is empirically unjustified. Life at its functional minimum may produce no detectable metabolic signal whatsoever. Its only unambiguous biochemical signature is informational: heritable polymer sequence with measurable fidelity.</w:t>
      </w:r>
    </w:p>
    <w:p>
      <w:pPr>
        <w:spacing w:after="160"/>
      </w:pPr>
      <w:r>
        <w:t xml:space="preserve">This has direct consequences for ocean-world life detection strategy. If minimal life is informationally defined rather than metabolically defined, instruments optimized for detecting chemical disequilibrium, specific metabolites, or energy-harvesting signatures may be blind to the simplest and most ancient forms of life. This proposal produces the experimental ground-truth needed to characterize the informational minimum — what polymer chemistry looks like at the threshold of heredity, under realistic geochemical conditions, and what physical signatures it might generate that are accessible to in-situ or sample-return instruments.</w:t>
      </w:r>
    </w:p>
    <w:p>
      <w:pPr>
        <w:pStyle w:val="Heading2"/>
      </w:pPr>
      <w:r>
        <w:rPr>
          <w:b/>
          <w:bCs/>
        </w:rPr>
        <w:t xml:space="preserve">2.2 Explicit Planetary Mission Connections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360"/>
      </w:tblGrid>
      <w:tr>
        <w:tc>
          <w:tcPr>
            <w:tcW w:type="dxa" w:w="22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Mission / Asset</w:t>
            </w:r>
          </w:p>
        </w:tc>
        <w:tc>
          <w:tcPr>
            <w:tcW w:type="dxa" w:w="38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Relevance to This Proposal</w:t>
            </w:r>
          </w:p>
        </w:tc>
        <w:tc>
          <w:tcPr>
            <w:tcW w:type="dxa" w:w="336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Specific Parameter Mapping</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Europa Clipper</w:t>
            </w:r>
          </w:p>
        </w:tc>
        <w:tc>
          <w:tcPr>
            <w:tcW w:type="dxa" w:w="3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Primary life-detection mission for Europa's subsurface ocean. E-THEMIS and MASPEX instruments targeting surface chemistry and plume composition.</w:t>
            </w:r>
          </w:p>
        </w:tc>
        <w:tc>
          <w:tcPr>
            <w:tcW w:type="dxa" w:w="33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Reactor redox gradient (200–500 mV) directly modeled on Europa seafloor habitability estimates from Hand et al. (2020). pH differential (2–3 units) matches predicted water-rock interface chemistry.</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Cassini–INMS (legacy)</w:t>
            </w:r>
          </w:p>
        </w:tc>
        <w:tc>
          <w:tcPr>
            <w:tcW w:type="dxa" w:w="3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Characterized Enceladus plume chemistry: H2, CO2, CH4, silica nanoparticles, organic compounds. Established hydrothermal activity at seafloor.</w:t>
            </w:r>
          </w:p>
        </w:tc>
        <w:tc>
          <w:tcPr>
            <w:tcW w:type="dxa" w:w="33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Reactor feedstock composition (H2-rich reducing environment, silica surfaces, alkaline pH) mirrors Enceladus plume source chemistry as modeled from INMS data (Waite et al., 2017).</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Mars Science Laboratory</w:t>
            </w:r>
          </w:p>
        </w:tc>
        <w:tc>
          <w:tcPr>
            <w:tcW w:type="dxa" w:w="3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Gale Crater geochemistry: sulfur redox cycling, mineral hydration, organic preservation. Establishing habitability of ancient Mars.</w:t>
            </w:r>
          </w:p>
        </w:tc>
        <w:tc>
          <w:tcPr>
            <w:tcW w:type="dxa" w:w="33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Thermal cycling regime (20–80°C over mm distances) approximates modeled ancient Martian subsurface hydrothermal conditions (Tosca et al., 2019). FeS/FeS2 mineral array mirrors observed Mars iron-sulfur mineral assemblages.</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Future: Europa Lander (concept)</w:t>
            </w:r>
          </w:p>
        </w:tc>
        <w:tc>
          <w:tcPr>
            <w:tcW w:type="dxa" w:w="3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Proposed direct sampling of Europa's surface/subsurface. Would require defined biosignature targets.</w:t>
            </w:r>
          </w:p>
        </w:tc>
        <w:tc>
          <w:tcPr>
            <w:tcW w:type="dxa" w:w="33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This work defines what minimal informational chemistry looks like — providing target signatures for instrument design and sample analysis protocols.</w:t>
            </w:r>
          </w:p>
        </w:tc>
      </w:tr>
    </w:tbl>
    <w:p>
      <w:pPr>
        <w:spacing w:after="60"/>
      </w:pPr>
    </w:p>
    <w:p>
      <w:pPr>
        <w:pStyle w:val="Heading2"/>
      </w:pPr>
      <w:r>
        <w:rPr>
          <w:b/>
          <w:bCs/>
        </w:rPr>
        <w:t xml:space="preserve">2.3 What This Work Teaches Regardless of Outcome</w:t>
      </w:r>
    </w:p>
    <w:p>
      <w:pPr>
        <w:spacing w:after="160"/>
      </w:pPr>
      <w:r>
        <w:t xml:space="preserve">This section explicitly addresses the NASA reviewer requirement that high-risk proposals articulate the scientific value of every possible outcome — not only success.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560"/>
        <w:gridCol w:w="3400"/>
      </w:tblGrid>
      <w:tr>
        <w:tc>
          <w:tcPr>
            <w:tcW w:type="dxa" w:w="24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Experimental Outcome</w:t>
            </w:r>
          </w:p>
        </w:tc>
        <w:tc>
          <w:tcPr>
            <w:tcW w:type="dxa" w:w="356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Scientific Lesson</w:t>
            </w:r>
          </w:p>
        </w:tc>
        <w:tc>
          <w:tcPr>
            <w:tcW w:type="dxa" w:w="34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Life-Detection Implication</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Stable protocells form; polymer encapsulation succeeds; fidelity crosses 10⁻³</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Geochemically realistic conditions are sufficient for informational chemistry threshold. Defines minimum physical parameter space.</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Ocean-world environments meeting these parameters are candidates for informational biosignature search.</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Protocells form; encapsulation succeeds; fidelity stalls below threshold</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Quantitative measurement of where fidelity collapses under geochemical noise. Defines the gap between chemistry and biology.</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Constrains which ocean-world environments are chemically insufficient regardless of energy availability. Informs negative biosignature interpretation.</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Protocells form but polymer encapsulation fails</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Characterizes minimum compartmentalization requirements for informational chemistry. Membrane physics under geochemical gradients quantified.</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Defines physical prerequisites for compartment-based biosignature generation. Relevant to interpreting vesicle-like structures in samples.</w:t>
            </w:r>
          </w:p>
        </w:tc>
      </w:tr>
      <w:tr>
        <w:tc>
          <w:tcPr>
            <w:tcW w:type="dxa" w:w="24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Reactor system operates stably but no polymer encapsulation achieved</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Establishes validated geochemical reactor as a research platform. Characterizes redox/pH stability limits under realistic mineral fouling.</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Provides calibrated analog environment for testing other prebiotic chemistry hypotheses. Infrastructure value independent of primary result.</w:t>
            </w:r>
          </w:p>
        </w:tc>
      </w:tr>
    </w:tbl>
    <w:p>
      <w:pPr>
        <w:spacing w:after="60"/>
      </w:pPr>
    </w:p>
    <w:p>
      <w:pPr>
        <w:pBdr>
          <w:bottom w:val="single" w:color="1F4E79" w:sz="4" w:space="1"/>
        </w:pBdr>
        <w:spacing w:before="120" w:after="120"/>
      </w:pPr>
    </w:p>
    <w:p>
      <w:pPr>
        <w:pStyle w:val="Heading1"/>
      </w:pPr>
      <w:r>
        <w:rPr>
          <w:b/>
          <w:bCs/>
        </w:rPr>
        <w:t xml:space="preserve">3. Scientific Background and State of the Field</w:t>
      </w:r>
    </w:p>
    <w:p>
      <w:pPr>
        <w:pStyle w:val="Heading2"/>
      </w:pPr>
      <w:r>
        <w:rPr>
          <w:b/>
          <w:bCs/>
        </w:rPr>
        <w:t xml:space="preserve">3.1 Operational Definition of Life for This Program</w:t>
      </w:r>
    </w:p>
    <w:p>
      <w:pPr>
        <w:spacing w:after="160"/>
      </w:pPr>
      <w:r>
        <w:t xml:space="preserve">This proposal adopts four experimentally testable criteria that deliberately exclude metabolism and autonomy as requirements. The scientific basis for this exclusion is empirical, not philosophical.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400"/>
        <w:gridCol w:w="3960"/>
      </w:tblGrid>
      <w:tr>
        <w:tc>
          <w:tcPr>
            <w:tcW w:type="dxa" w:w="20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Criterion</w:t>
            </w:r>
          </w:p>
        </w:tc>
        <w:tc>
          <w:tcPr>
            <w:tcW w:type="dxa" w:w="34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Operational Test</w:t>
            </w:r>
          </w:p>
        </w:tc>
        <w:tc>
          <w:tcPr>
            <w:tcW w:type="dxa" w:w="396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Empirical Basis for Inclusion</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Heritable information storage</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Sequence retention measurable by next-generation sequencing across 20+ replication cycles</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Fundamental to all known life; independent of metabolic complexity</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Template-based replication with bounded error</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Error rate μ &lt; 1/n satisfying Eigen threshold for genome length n; measured by sequencing</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Eigen (1971); experimentally demonstrated in RNA and XNA systems</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Selection acting on variants</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Population-level enrichment of sequences conferring measurable advantage, demonstrated by selective sequencing over 50+ generations</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Core of Darwinian evolution; demonstrated in vitro by Szostak, Joyce, and others</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Self-maintaining boundary conditions</w:t>
            </w:r>
          </w:p>
        </w:tc>
        <w:tc>
          <w:tcPr>
            <w:tcW w:type="dxa" w:w="34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Lipid vesicle persistence for 4+ weeks under reactor conditions without continuous precursor addition</w:t>
            </w:r>
          </w:p>
        </w:tc>
        <w:tc>
          <w:tcPr>
            <w:tcW w:type="dxa" w:w="39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Necessary for unit-of-selection; demonstrated in fatty acid vesicle systems</w:t>
            </w:r>
          </w:p>
        </w:tc>
      </w:tr>
    </w:tbl>
    <w:p>
      <w:pPr>
        <w:spacing w:after="60"/>
      </w:pPr>
    </w:p>
    <w:p>
      <w:pPr>
        <w:spacing w:after="160"/>
      </w:pPr>
      <w:r>
        <w:t xml:space="preserve">Critically, Candidatus Sukunaarchaeum mirabile (Harada et al., 2025) provides empirical proof that a cellular system meeting these four criteria — with no detectable metabolic function — is accepted as unambiguously alive by the scientific community. This validates the operational definition and supports the claim that a reactor-dependent artificial system meeting the same criteria would constitute a legitimate life-detection result.</w:t>
      </w:r>
    </w:p>
    <w:p>
      <w:pPr>
        <w:pStyle w:val="Heading2"/>
      </w:pPr>
      <w:r>
        <w:rPr>
          <w:b/>
          <w:bCs/>
        </w:rPr>
        <w:t xml:space="preserve">3.2 The Minimal Genome Anchors: Structural Analogy, Not Temporal Claim</w:t>
      </w:r>
    </w:p>
    <w:p>
      <w:pPr>
        <w:spacing w:after="160"/>
      </w:pPr>
      <w:r>
        <w:t xml:space="preserve">Three ultra-minimal organisms anchor the proposal's feasibility argument:</w:t>
      </w:r>
    </w:p>
    <w:p>
      <w:pPr>
        <w:pStyle w:val="ListParagraph"/>
        <w:numPr>
          <w:ilvl w:val="0"/>
          <w:numId w:val="2"/>
        </w:numPr>
        <w:spacing w:after="80"/>
      </w:pPr>
      <w:r>
        <w:t xml:space="preserve">Candidatus Sukunaarchaeum mirabile (Harada et al., 2025): 238 kbp, ~189 genes, no metabolism, holoparasite inside Citharistes regius. Smallest archaeal genome known.</w:t>
      </w:r>
    </w:p>
    <w:p>
      <w:pPr>
        <w:pStyle w:val="ListParagraph"/>
        <w:numPr>
          <w:ilvl w:val="0"/>
          <w:numId w:val="2"/>
        </w:numPr>
        <w:spacing w:after="80"/>
      </w:pPr>
      <w:r>
        <w:t xml:space="preserve">Nanoarchaeum equitans (Waters et al., 2003): 490 kbp, ~540 genes, obligate symbiont.</w:t>
      </w:r>
    </w:p>
    <w:p>
      <w:pPr>
        <w:pStyle w:val="ListParagraph"/>
        <w:numPr>
          <w:ilvl w:val="0"/>
          <w:numId w:val="2"/>
        </w:numPr>
        <w:spacing w:after="80"/>
      </w:pPr>
      <w:r>
        <w:t xml:space="preserve">JCVI-syn3.0 (Hutchison et al., 2016): 473-gene synthetic minimal genome; minimum for self-replication in fully supplemented medium.</w:t>
      </w:r>
    </w:p>
    <w:p>
      <w:pPr>
        <w:spacing w:after="160"/>
      </w:pPr>
      <w:r>
        <w:t xml:space="preserve">An important epistemic constraint must be stated clearly: these organisms are valid structural analogs for a reactor-dependent minimal system, but they are not temporal analogs. Each inherited a fully evolved translation apparatus from billions of years of prior protein evolution. None built their ribosome de novo. This proposal does not claim to recreate the origin of translation — it claims to recreate the physical and chemical conditions under which informational polymer chemistry can achieve heritable continuity. That is a narrower and more defensible claim, and it is the one on which Phase 1 rests entirely.</w:t>
      </w:r>
    </w:p>
    <w:p>
      <w:pPr>
        <w:pStyle w:val="Heading2"/>
      </w:pPr>
      <w:r>
        <w:rPr>
          <w:b/>
          <w:bCs/>
        </w:rPr>
        <w:t xml:space="preserve">3.3 The Error Threshold: Quantitative Constraint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4"/>
              <w:left w:val="single" w:color="1F4E79" w:sz="4"/>
              <w:bottom w:val="single" w:color="1F4E79" w:sz="4"/>
              <w:right w:val="single" w:color="1F4E79" w:sz="4"/>
            </w:tcBorders>
            <w:shd w:fill="EBF3FB" w:val="clear"/>
            <w:tcMar>
              <w:top w:type="dxa" w:w="120"/>
              <w:left w:type="dxa" w:w="200"/>
              <w:bottom w:type="dxa" w:w="120"/>
              <w:right w:type="dxa" w:w="200"/>
            </w:tcMar>
          </w:tcPr>
          <w:p>
            <w:pPr>
              <w:spacing w:after="60"/>
            </w:pPr>
            <w:r>
              <w:rPr>
                <w:sz w:val="20"/>
                <w:szCs w:val="20"/>
              </w:rPr>
              <w:t xml:space="preserve">Eigen's Error Threshold: μ &lt; 1/n  (error rate per base must be less than inverse of genome length)</w:t>
            </w:r>
          </w:p>
          <w:p>
            <w:pPr>
              <w:spacing w:after="60"/>
            </w:pPr>
            <w:r>
              <w:rPr>
                <w:sz w:val="20"/>
                <w:szCs w:val="20"/>
              </w:rPr>
              <w:t xml:space="preserve"/>
            </w:r>
          </w:p>
          <w:p>
            <w:pPr>
              <w:spacing w:after="60"/>
            </w:pPr>
            <w:r>
              <w:rPr>
                <w:sz w:val="20"/>
                <w:szCs w:val="20"/>
              </w:rPr>
              <w:t xml:space="preserve">Measured non-enzymatic RNA replication error rates (experimental):</w:t>
            </w:r>
          </w:p>
          <w:p>
            <w:pPr>
              <w:spacing w:after="60"/>
            </w:pPr>
            <w:r>
              <w:rPr>
                <w:sz w:val="20"/>
                <w:szCs w:val="20"/>
              </w:rPr>
              <w:t xml:space="preserve">  7–26% per base under standard conditions (Rajamani et al., JACS 2010)</w:t>
            </w:r>
          </w:p>
          <w:p>
            <w:pPr>
              <w:spacing w:after="60"/>
            </w:pPr>
            <w:r>
              <w:rPr>
                <w:sz w:val="20"/>
                <w:szCs w:val="20"/>
              </w:rPr>
              <w:t xml:space="preserve">  → Maximum viable genome at 10% error: 10 bases</w:t>
            </w:r>
          </w:p>
          <w:p>
            <w:pPr>
              <w:spacing w:after="60"/>
            </w:pPr>
            <w:r>
              <w:rPr>
                <w:sz w:val="20"/>
                <w:szCs w:val="20"/>
              </w:rPr>
              <w:t xml:space="preserve">  → Maximum viable genome at 1% error: 100 bases</w:t>
            </w:r>
          </w:p>
          <w:p>
            <w:pPr>
              <w:spacing w:after="60"/>
            </w:pPr>
            <w:r>
              <w:rPr>
                <w:sz w:val="20"/>
                <w:szCs w:val="20"/>
              </w:rPr>
              <w:t xml:space="preserve"/>
            </w:r>
          </w:p>
          <w:p>
            <w:pPr>
              <w:spacing w:after="60"/>
            </w:pPr>
            <w:r>
              <w:rPr>
                <w:sz w:val="20"/>
                <w:szCs w:val="20"/>
              </w:rPr>
              <w:t xml:space="preserve">Passive thermodynamic correction (no enzymes):</w:t>
            </w:r>
          </w:p>
          <w:p>
            <w:pPr>
              <w:spacing w:after="60"/>
            </w:pPr>
            <w:r>
              <w:rPr>
                <w:sz w:val="20"/>
                <w:szCs w:val="20"/>
              </w:rPr>
              <w:t xml:space="preserve">  Kinetic asymmetry model achieves ~10⁻⁴ error rate (Scientific Reports, 2025)</w:t>
            </w:r>
          </w:p>
          <w:p>
            <w:pPr>
              <w:spacing w:after="60"/>
            </w:pPr>
            <w:r>
              <w:rPr>
                <w:sz w:val="20"/>
                <w:szCs w:val="20"/>
              </w:rPr>
              <w:t xml:space="preserve">  → Maximum viable genome: ~10,000 bases</w:t>
            </w:r>
          </w:p>
          <w:p>
            <w:pPr>
              <w:spacing w:after="60"/>
            </w:pPr>
            <w:r>
              <w:rPr>
                <w:sz w:val="20"/>
                <w:szCs w:val="20"/>
              </w:rPr>
              <w:t xml:space="preserve"/>
            </w:r>
          </w:p>
          <w:p>
            <w:pPr>
              <w:spacing w:after="60"/>
            </w:pPr>
            <w:r>
              <w:rPr>
                <w:sz w:val="20"/>
                <w:szCs w:val="20"/>
              </w:rPr>
              <w:t xml:space="preserve">Phase 1 Goal: Cross 10⁻³ error threshold in geochemically realistic reactor conditions.</w:t>
            </w:r>
          </w:p>
          <w:p>
            <w:pPr>
              <w:spacing w:after="60"/>
            </w:pPr>
            <w:r>
              <w:rPr>
                <w:sz w:val="20"/>
                <w:szCs w:val="20"/>
              </w:rPr>
              <w:t xml:space="preserve">  This is necessary and sufficient for Stage II (polymer-protocell coupling).</w:t>
            </w:r>
          </w:p>
          <w:p>
            <w:pPr>
              <w:spacing w:after="60"/>
            </w:pPr>
            <w:r>
              <w:rPr>
                <w:sz w:val="20"/>
                <w:szCs w:val="20"/>
              </w:rPr>
              <w:t xml:space="preserve">  Translation machinery is NOT required at this stage.</w:t>
            </w:r>
          </w:p>
          <w:p>
            <w:pPr>
              <w:spacing w:after="60"/>
            </w:pPr>
            <w:r>
              <w:rPr>
                <w:sz w:val="20"/>
                <w:szCs w:val="20"/>
              </w:rPr>
              <w:t xml:space="preserve"/>
            </w:r>
          </w:p>
          <w:p>
            <w:pPr>
              <w:spacing w:after="60"/>
            </w:pPr>
            <w:r>
              <w:rPr>
                <w:sz w:val="20"/>
                <w:szCs w:val="20"/>
              </w:rPr>
              <w:t xml:space="preserve">Critical assumption: fidelity mechanisms demonstrated individually must co-function</w:t>
            </w:r>
          </w:p>
          <w:p>
            <w:pPr>
              <w:spacing w:after="60"/>
            </w:pPr>
            <w:r>
              <w:rPr>
                <w:sz w:val="20"/>
                <w:szCs w:val="20"/>
              </w:rPr>
              <w:t xml:space="preserve">under noisy reactor conditions. Phase 1 tests this assumption directly and quantitatively.</w:t>
            </w:r>
          </w:p>
        </w:tc>
      </w:tr>
    </w:tbl>
    <w:p>
      <w:pPr>
        <w:spacing w:after="60"/>
      </w:pPr>
    </w:p>
    <w:p>
      <w:pPr>
        <w:pBdr>
          <w:bottom w:val="single" w:color="1F4E79" w:sz="4" w:space="1"/>
        </w:pBdr>
        <w:spacing w:before="120" w:after="120"/>
      </w:pPr>
    </w:p>
    <w:p>
      <w:pPr>
        <w:pStyle w:val="Heading1"/>
      </w:pPr>
      <w:r>
        <w:rPr>
          <w:b/>
          <w:bCs/>
        </w:rPr>
        <w:t xml:space="preserve">4. Phase 1 Experimental Program (This Proposal — 3 Years)</w:t>
      </w:r>
    </w:p>
    <w:p>
      <w:pPr>
        <w:spacing w:after="160"/>
      </w:pPr>
      <w:r>
        <w:t xml:space="preserve">Phase 1 encompasses Stages I–III of the full roadmap. It is designed as a complete, self-contained scientific program. Stage IV onward (translation scaffolding, energy coupling, open evolution) are future-phase contingencies explicitly outside this proposal's scope and budget. This structure ensures that Phase 1 delivers publishable, astrobiologically significant results regardless of whether subsequent phases are funded.</w:t>
      </w:r>
    </w:p>
    <w:p>
      <w:pPr>
        <w:pStyle w:val="Heading2"/>
      </w:pPr>
      <w:r>
        <w:rPr>
          <w:b/>
          <w:bCs/>
        </w:rPr>
        <w:t xml:space="preserve">4.1 Stage I — Reactor Construction and Validation (Year 1)</w:t>
      </w:r>
    </w:p>
    <w:p>
      <w:pPr>
        <w:spacing w:before="140" w:after="60"/>
      </w:pPr>
      <w:r>
        <w:rPr>
          <w:b/>
          <w:bCs/>
          <w:i/>
          <w:iCs/>
          <w:color w:val="1F4E79"/>
          <w:sz w:val="22"/>
          <w:szCs w:val="22"/>
        </w:rPr>
        <w:t xml:space="preserve">Objective</w:t>
      </w:r>
    </w:p>
    <w:p>
      <w:pPr>
        <w:spacing w:after="160"/>
      </w:pPr>
      <w:r>
        <w:t xml:space="preserve">Build and validate a microfluidic geochemical reactor that maintains stable chemical disequilibrium under conditions directly analogous to Europa seafloor and Enceladus plume-source environments. Confirm 6-month operational stability without drift.</w:t>
      </w:r>
    </w:p>
    <w:p>
      <w:pPr>
        <w:spacing w:before="140" w:after="60"/>
      </w:pPr>
      <w:r>
        <w:rPr>
          <w:b/>
          <w:bCs/>
          <w:i/>
          <w:iCs/>
          <w:color w:val="1F4E79"/>
          <w:sz w:val="22"/>
          <w:szCs w:val="22"/>
        </w:rPr>
        <w:t xml:space="preserve">Technical Specifications (Europa/Enceladus Analog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560"/>
      </w:tblGrid>
      <w:tr>
        <w:tc>
          <w:tcPr>
            <w:tcW w:type="dxa" w:w="20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Parameter</w:t>
            </w:r>
          </w:p>
        </w:tc>
        <w:tc>
          <w:tcPr>
            <w:tcW w:type="dxa" w:w="28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Value</w:t>
            </w:r>
          </w:p>
        </w:tc>
        <w:tc>
          <w:tcPr>
            <w:tcW w:type="dxa" w:w="456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Planetary Analog Basis</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Redox gradient</w:t>
            </w:r>
          </w:p>
        </w:tc>
        <w:tc>
          <w:tcPr>
            <w:tcW w:type="dxa" w:w="2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200–500 mV sustained</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Europa seafloor models (Hand et al., 2020)</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pH differential</w:t>
            </w:r>
          </w:p>
        </w:tc>
        <w:tc>
          <w:tcPr>
            <w:tcW w:type="dxa" w:w="2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2–3 pH units across mineral membrane</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Enceladus alkaline vent source chemistry (Waite et al., 2017)</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Temperature cycling</w:t>
            </w:r>
          </w:p>
        </w:tc>
        <w:tc>
          <w:tcPr>
            <w:tcW w:type="dxa" w:w="2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20–80°C, 10-minute periods</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Hydrothermal pore network thermal profiles</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Mineral surfaces</w:t>
            </w:r>
          </w:p>
        </w:tc>
        <w:tc>
          <w:tcPr>
            <w:tcW w:type="dxa" w:w="2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Pyrite (FeS₂), greigite (Fe₃S₄), montmorillonite arrays</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Mars/Europa iron-sulfur mineralogy; Wächtershäuser model</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Feedstock</w:t>
            </w:r>
          </w:p>
        </w:tc>
        <w:tc>
          <w:tcPr>
            <w:tcW w:type="dxa" w:w="2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Amino acid precursors, nucleobase analogs, glycerol, fatty acid analogs at μM–mM</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Enceladus INMS organic inventory</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PPi supply</w:t>
            </w:r>
          </w:p>
        </w:tc>
        <w:tc>
          <w:tcPr>
            <w:tcW w:type="dxa" w:w="2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Included in feedstock from Year 1; not required for Stage I function</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Forward-compatible with Stage VI energy coupling</w:t>
            </w:r>
          </w:p>
        </w:tc>
      </w:tr>
      <w:tr>
        <w:tc>
          <w:tcPr>
            <w:tcW w:type="dxa" w:w="2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Channel dimensions</w:t>
            </w:r>
          </w:p>
        </w:tc>
        <w:tc>
          <w:tcPr>
            <w:tcW w:type="dxa" w:w="2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10–100 μm microfluidic channels</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Mineral pore network approximation</w:t>
            </w:r>
          </w:p>
        </w:tc>
      </w:tr>
    </w:tbl>
    <w:p>
      <w:pPr>
        <w:spacing w:after="60"/>
      </w:pPr>
    </w:p>
    <w:p>
      <w:pPr>
        <w:spacing w:before="140" w:after="60"/>
      </w:pPr>
      <w:r>
        <w:rPr>
          <w:b/>
          <w:bCs/>
          <w:i/>
          <w:iCs/>
          <w:color w:val="1F4E79"/>
          <w:sz w:val="22"/>
          <w:szCs w:val="22"/>
        </w:rPr>
        <w:t xml:space="preserve">Stage I Success Criteria</w:t>
      </w:r>
    </w:p>
    <w:p>
      <w:pPr>
        <w:pStyle w:val="ListParagraph"/>
        <w:numPr>
          <w:ilvl w:val="0"/>
          <w:numId w:val="3"/>
        </w:numPr>
        <w:spacing w:after="80"/>
      </w:pPr>
      <w:r>
        <w:t xml:space="preserve">Stable vesicle formation persisting 4+ weeks without continuous lipid precursor addition — confirmed by fluorescence microscopy.</w:t>
      </w:r>
    </w:p>
    <w:p>
      <w:pPr>
        <w:spacing w:after="160"/>
      </w:pPr>
      <w:r>
        <w:t xml:space="preserve">A theoretical connection that substantially strengthens the reactor's scientific grounding deserves explicit acknowledgment here. Peter Mitchell won the Nobel Prize in Chemistry in 1978 for demonstrating that life's energy production is driven by proton gradients across membranes — the chemiosmotic theory. The universal energy currency of life is not ATP per se, but the electrochemical potential of a proton gradient maintained across a membrane boundary. Nick Lane, Mike Russell, and colleagues have since extended Mitchell's insight to argue that alkaline hydrothermal vents — generating natural pH gradients at the interface of alkaline vent fluid and mildly acidic Hadean ocean water — represent the most thermodynamically plausible environment for life's origin, precisely because they provide a ready-made chemiosmotic gradient that proto-cellular systems could exploit before evolving their own proton pumps. The reactor's pH differential of 2–3 units across a mineral membrane is not an arbitrary design parameter. It is a deliberate recreation of the Mitchell chemiosmotic landscape that the leading origin-of-life theory identifies as life's first energy source. The reactor is, by construction, a Mitchell machine. This connection to Nobel Prize-level biochemistry strengthens both the theoretical justification for the reactor design and its relevance to the Russell-Lane alkaline vent model — one of the two leading frameworks in modern origin-of-life research.</w:t>
      </w:r>
    </w:p>
    <w:p>
      <w:pPr>
        <w:pStyle w:val="ListParagraph"/>
        <w:numPr>
          <w:ilvl w:val="0"/>
          <w:numId w:val="3"/>
        </w:numPr>
        <w:spacing w:after="80"/>
      </w:pPr>
      <w:r>
        <w:t xml:space="preserve">Redox gradient maintained at 200–500 mV for 6 months without passivation drift — confirmed by electrochemical monitoring.</w:t>
      </w:r>
    </w:p>
    <w:p>
      <w:pPr>
        <w:pStyle w:val="ListParagraph"/>
        <w:numPr>
          <w:ilvl w:val="0"/>
          <w:numId w:val="3"/>
        </w:numPr>
        <w:spacing w:after="80"/>
      </w:pPr>
      <w:r>
        <w:t xml:space="preserve">Nucleotide precursor concentration on mineral surfaces measurably exceeding bulk solution — confirmed by quantitative HPLC.</w:t>
      </w:r>
    </w:p>
    <w:p>
      <w:pPr>
        <w:pStyle w:val="ListParagraph"/>
        <w:numPr>
          <w:ilvl w:val="0"/>
          <w:numId w:val="3"/>
        </w:numPr>
        <w:spacing w:after="80"/>
      </w:pPr>
      <w:r>
        <w:t xml:space="preserve">Oligomer formation (6–20 mers) via mineral surface-mediated condensation — confirmed by MALDI-TOF mass spectrometry.</w:t>
      </w:r>
    </w:p>
    <w:p>
      <w:pPr>
        <w:pStyle w:val="ListParagraph"/>
        <w:numPr>
          <w:ilvl w:val="0"/>
          <w:numId w:val="3"/>
        </w:numPr>
        <w:spacing w:after="80"/>
      </w:pPr>
      <w:r>
        <w:t xml:space="preserve">pH differential stability across mineral membrane — confirmed by dual microelectrode monitoring at 48-hour intervals.</w:t>
      </w:r>
    </w:p>
    <w:p>
      <w:pPr>
        <w:spacing w:after="160"/>
      </w:pPr>
      <w:r>
        <w:t xml:space="preserve">If any criterion is not met within 18 months, the reactor design is revised before proceeding to Stage II. This is a go/no-go gate, not a soft target.</w:t>
      </w:r>
    </w:p>
    <w:p>
      <w:pPr>
        <w:pStyle w:val="Heading2"/>
      </w:pPr>
      <w:r>
        <w:rPr>
          <w:b/>
          <w:bCs/>
        </w:rPr>
        <w:t xml:space="preserve">4.2 Stage II — Polymer Selection Under Geochemical Conditions (Years 1–2)</w:t>
      </w:r>
    </w:p>
    <w:p>
      <w:pPr>
        <w:spacing w:before="140" w:after="60"/>
      </w:pPr>
      <w:r>
        <w:rPr>
          <w:b/>
          <w:bCs/>
          <w:i/>
          <w:iCs/>
          <w:color w:val="1F4E79"/>
          <w:sz w:val="22"/>
          <w:szCs w:val="22"/>
        </w:rPr>
        <w:t xml:space="preserve">Primary Approach: Open Competition Under Reactor Selection</w:t>
      </w:r>
    </w:p>
    <w:p>
      <w:pPr>
        <w:spacing w:after="160"/>
      </w:pPr>
      <w:r>
        <w:t xml:space="preserve">A significant scientific revision from earlier proposal versions: Stage II no longer pre-selects a winning polymer chemistry at Month 18. Instead, TNA, RNA, and if warranted FANA are run simultaneously under reactor conditions, and geochemical selection determines which chemistry achieves better replication fidelity. This is more prebiotically realistic — early Earth did not choose its polymer chemistry in advance — and more scientifically honest about the contested question of whether RNA was even the first genetic system. The experimental work is identical; the framing is more defensible.</w:t>
      </w:r>
    </w:p>
    <w:p>
      <w:pPr>
        <w:spacing w:after="140"/>
        <w:ind w:left="360"/>
      </w:pPr>
      <w:r>
        <w:rPr>
          <w:b/>
          <w:bCs/>
        </w:rPr>
        <w:t xml:space="preserve">TNA rationale: </w:t>
      </w:r>
      <w:r>
        <w:t xml:space="preserve">Prebiotic synthesis of 3'-amino-TNA nucleosides demonstrated diastereoselectively from simple feedstocks under prebiotically plausible conditions (Nature Chemistry, 2022). Shorter backbone repeat unit than any other known genetic polymer; more acid-stable than RNA or DNA; TNAzymes catalyzing RNA ligation demonstrated (JACS, 2025).</w:t>
      </w:r>
    </w:p>
    <w:p>
      <w:pPr>
        <w:spacing w:after="140"/>
        <w:ind w:left="360"/>
      </w:pPr>
      <w:r>
        <w:rPr>
          <w:b/>
          <w:bCs/>
        </w:rPr>
        <w:t xml:space="preserve">RNA rationale: </w:t>
      </w:r>
      <w:r>
        <w:t xml:space="preserve">Largest existing ribozyme catalog; most developed experimental literature; most direct path to known translation biology. Sutherland cyanosulfidic chemistry provides prebiotically plausible pyrimidine activation.</w:t>
      </w:r>
    </w:p>
    <w:p>
      <w:pPr>
        <w:spacing w:before="140" w:after="60"/>
      </w:pPr>
      <w:r>
        <w:rPr>
          <w:b/>
          <w:bCs/>
          <w:i/>
          <w:iCs/>
          <w:color w:val="1F4E79"/>
          <w:sz w:val="22"/>
          <w:szCs w:val="22"/>
        </w:rPr>
        <w:t xml:space="preserve">Stage II Go/No-Go Criterion (Month 18) — Revised</w:t>
      </w:r>
    </w:p>
    <w:p>
      <w:pPr>
        <w:spacing w:after="160"/>
      </w:pPr>
      <w:r>
        <w:t xml:space="preserve">Stage II monitors two distinct phenomena simultaneously, both scientifically significant:</w:t>
      </w:r>
    </w:p>
    <w:p>
      <w:pPr>
        <w:pStyle w:val="ListParagraph"/>
        <w:numPr>
          <w:ilvl w:val="0"/>
          <w:numId w:val="2"/>
        </w:numPr>
        <w:spacing w:after="80"/>
      </w:pPr>
      <w:r>
        <w:t xml:space="preserve">Primary criterion: any polymer chemistry achieves template-directed replication of a 20+ mer sequence with per-base error rate below 1% under reactor conditions. If met, that chemistry advances to Stage III.</w:t>
      </w:r>
    </w:p>
    <w:p>
      <w:pPr>
        <w:pStyle w:val="ListParagraph"/>
        <w:numPr>
          <w:ilvl w:val="0"/>
          <w:numId w:val="2"/>
        </w:numPr>
        <w:spacing w:after="80"/>
      </w:pPr>
      <w:r>
        <w:t xml:space="preserve">Secondary criterion: population-level sequencing reveals non-random sequence distributions — enrichment of functional variants, stability of sequence families — even if individual fidelity remains above 1%. This is evidence of quasispecies dynamics: selection operating on a population of mutants as a collective evolving unit, as described by Eigen and Schuster (1977). This result, if observed, constitutes the earliest detectable form of Darwinian evolution and is itself a landmark publication regardless of whether the primary fidelity threshold is crossed.</w:t>
      </w:r>
    </w:p>
    <w:p>
      <w:pPr>
        <w:spacing w:after="160"/>
      </w:pPr>
      <w:r>
        <w:t xml:space="preserve">If neither criterion is met at Month 18, FANA is introduced as a tertiary candidate for 12 further months. If all three chemistries fail both criteria, a fundamental reappraisal is required before further resource commitment — this is an explicit program termination trigger.</w:t>
      </w:r>
    </w:p>
    <w:p>
      <w:pPr>
        <w:spacing w:before="140" w:after="60"/>
      </w:pPr>
      <w:r>
        <w:rPr>
          <w:b/>
          <w:bCs/>
          <w:i/>
          <w:iCs/>
          <w:color w:val="1F4E79"/>
          <w:sz w:val="22"/>
          <w:szCs w:val="22"/>
        </w:rPr>
        <w:t xml:space="preserve">What Failure Teaches</w:t>
      </w:r>
    </w:p>
    <w:p>
      <w:pPr>
        <w:spacing w:after="160"/>
      </w:pPr>
      <w:r>
        <w:t xml:space="preserve">A quantitative measurement of the error rate achieved under geochemically realistic conditions, even if it fails to cross 10⁻³, is itself a significant publication. It establishes the experimental ground-truth for what chemical conditions cannot support informational continuity — directly informing habitability constraints for ocean-world environments that meet similar parameters.</w:t>
      </w:r>
    </w:p>
    <w:p>
      <w:pPr>
        <w:pStyle w:val="Heading2"/>
      </w:pPr>
      <w:r>
        <w:rPr>
          <w:b/>
          <w:bCs/>
        </w:rPr>
        <w:t xml:space="preserve">4.3 Stage III — Protocell Formation and Polymer Encapsulation (Years 2–3)</w:t>
      </w:r>
    </w:p>
    <w:p>
      <w:pPr>
        <w:spacing w:before="140" w:after="60"/>
      </w:pPr>
      <w:r>
        <w:rPr>
          <w:b/>
          <w:bCs/>
          <w:i/>
          <w:iCs/>
          <w:color w:val="1F4E79"/>
          <w:sz w:val="22"/>
          <w:szCs w:val="22"/>
        </w:rPr>
        <w:t xml:space="preserve">Objective</w:t>
      </w:r>
    </w:p>
    <w:p>
      <w:pPr>
        <w:spacing w:after="160"/>
      </w:pPr>
      <w:r>
        <w:t xml:space="preserve">Demonstrate that the replicating polymer system identified in Stage II can be stably encapsulated within lipid vesicles formed under reactor conditions, with measurable sequence retention across division cycles.</w:t>
      </w:r>
    </w:p>
    <w:p>
      <w:pPr>
        <w:spacing w:before="140" w:after="60"/>
      </w:pPr>
      <w:r>
        <w:rPr>
          <w:b/>
          <w:bCs/>
          <w:i/>
          <w:iCs/>
          <w:color w:val="1F4E79"/>
          <w:sz w:val="22"/>
          <w:szCs w:val="22"/>
        </w:rPr>
        <w:t xml:space="preserve">Key Experimental Components</w:t>
      </w:r>
    </w:p>
    <w:p>
      <w:pPr>
        <w:pStyle w:val="ListParagraph"/>
        <w:numPr>
          <w:ilvl w:val="0"/>
          <w:numId w:val="2"/>
        </w:numPr>
        <w:spacing w:after="80"/>
      </w:pPr>
      <w:r>
        <w:t xml:space="preserve">Screen fatty acid compositions (C10–C16 chains, mixed-headgroup systems) for division regularity and polymer encapsulation efficiency under reactor temperature and pH conditions.</w:t>
      </w:r>
    </w:p>
    <w:p>
      <w:pPr>
        <w:pStyle w:val="ListParagraph"/>
        <w:numPr>
          <w:ilvl w:val="0"/>
          <w:numId w:val="2"/>
        </w:numPr>
        <w:spacing w:after="80"/>
      </w:pPr>
      <w:r>
        <w:t xml:space="preserve">Establish parasite surveillance protocol: population sequencing every 20 generations throughout the project. Intervention trigger: any monotonically increasing parasite trend, regardless of absolute percentage — not a fixed 30% threshold. Cooperative collapse can occur well below this level.</w:t>
      </w:r>
    </w:p>
    <w:p>
      <w:pPr>
        <w:pStyle w:val="ListParagraph"/>
        <w:numPr>
          <w:ilvl w:val="0"/>
          <w:numId w:val="2"/>
        </w:numPr>
        <w:spacing w:after="80"/>
      </w:pPr>
      <w:r>
        <w:t xml:space="preserve">Membrane-replication synchronization assessment: monitor sequence fidelity across generations. Declining fidelity trend is the primary failure signal. Intervention tools: flow rate adjustment, shear-induced division, vesicle composition variation.</w:t>
      </w:r>
    </w:p>
    <w:p>
      <w:pPr>
        <w:spacing w:before="140" w:after="60"/>
      </w:pPr>
      <w:r>
        <w:rPr>
          <w:b/>
          <w:bCs/>
          <w:i/>
          <w:iCs/>
          <w:color w:val="1F4E79"/>
          <w:sz w:val="22"/>
          <w:szCs w:val="22"/>
        </w:rPr>
        <w:t xml:space="preserve">Stage III Success Criteria</w:t>
      </w:r>
    </w:p>
    <w:p>
      <w:pPr>
        <w:pStyle w:val="ListParagraph"/>
        <w:numPr>
          <w:ilvl w:val="0"/>
          <w:numId w:val="3"/>
        </w:numPr>
        <w:spacing w:after="80"/>
      </w:pPr>
      <w:r>
        <w:t xml:space="preserve">Stable encapsulation of replicating polymer sequences in lipid vesicles persisting for 50+ consecutive division cycles — confirmed by sequencing.</w:t>
      </w:r>
    </w:p>
    <w:p>
      <w:pPr>
        <w:pStyle w:val="ListParagraph"/>
        <w:numPr>
          <w:ilvl w:val="0"/>
          <w:numId w:val="3"/>
        </w:numPr>
        <w:spacing w:after="80"/>
      </w:pPr>
      <w:r>
        <w:t xml:space="preserve">Measurable sequence retention above the Eigen threshold for the encapsulated genome length — confirmed by population-level sequencing.</w:t>
      </w:r>
    </w:p>
    <w:p>
      <w:pPr>
        <w:pStyle w:val="ListParagraph"/>
        <w:numPr>
          <w:ilvl w:val="0"/>
          <w:numId w:val="3"/>
        </w:numPr>
        <w:spacing w:after="80"/>
      </w:pPr>
      <w:r>
        <w:t xml:space="preserve">No monotonic parasite enrichment over 50 generations under baseline reactor conditions.</w:t>
      </w:r>
    </w:p>
    <w:p>
      <w:pPr>
        <w:pStyle w:val="ListParagraph"/>
        <w:numPr>
          <w:ilvl w:val="0"/>
          <w:numId w:val="3"/>
        </w:numPr>
        <w:spacing w:after="80"/>
      </w:pPr>
      <w:r>
        <w:t xml:space="preserve">At least one documented instance of selective enrichment of a sequence variant conferring measurable vesicle persistence advantage — the first demonstration of selection acting on encapsulated replicators.</w:t>
      </w:r>
    </w:p>
    <w:p>
      <w:pPr>
        <w:pBdr>
          <w:bottom w:val="single" w:color="1F4E79" w:sz="4" w:space="1"/>
        </w:pBdr>
        <w:spacing w:before="120" w:after="120"/>
      </w:pPr>
    </w:p>
    <w:p>
      <w:pPr>
        <w:pStyle w:val="Heading1"/>
      </w:pPr>
      <w:r>
        <w:rPr>
          <w:b/>
          <w:bCs/>
        </w:rPr>
        <w:t xml:space="preserve">5. Translation Scaffolding: Scope and Philosophy</w:t>
      </w:r>
    </w:p>
    <w:p>
      <w:pPr>
        <w:spacing w:after="160"/>
      </w:pPr>
      <w:r>
        <w:t xml:space="preserve">The synthetic ribosome scaffold described in the full roadmap document (Stage IV of the seven-stage program) is explicitly outside the scope of this Phase 1 proposal. It is not budgeted, not planned within the three-year period, and not required for the Phase 1 deliverables.</w:t>
      </w:r>
    </w:p>
    <w:p>
      <w:pPr>
        <w:spacing w:after="160"/>
      </w:pPr>
      <w:r>
        <w:t xml:space="preserve">This clarification directly addresses the anticipated NASA panel concern that the proposal 'imports modern complexity prematurely.' Phase 1 is entirely prebiotic-chemistry-plausible. No engineered polymerases beyond what is required for the polymer chemistry screen, no synthetic ribosomes, no translation apparatus. The primary experimental path through Stages I–III uses only chemistry and compartmentalization — the minimum required to demonstrate informational heredity.</w:t>
      </w:r>
    </w:p>
    <w:p>
      <w:pPr>
        <w:spacing w:after="160"/>
      </w:pPr>
      <w:r>
        <w:t xml:space="preserve">The synthetic scaffold, if pursued in future phases, would be introduced only as a contingency after Phase 1 conclusively demonstrates that the fidelity threshold is crossable but spontaneous translation initiation is not occurring. It is a last resort after exhausting prebiotic-plausible approaches, and it is reframed correctly as 'origin simulation with scaffolding' rather than 'origin recreation.' Future phase proposals will make this distinction explicit and will frame the scaffold work as synthetic biology adjacent to, rather than part of, origins-of-life research.</w:t>
      </w:r>
    </w:p>
    <w:p>
      <w:pPr>
        <w:spacing w:after="160"/>
      </w:pPr>
      <w:r>
        <w:t xml:space="preserve">The scientific value of Phase 1 is entirely independent of whether a translation scaffold is ever introduced. Phase 1 asks: what are the geochemical conditions necessary and sufficient for hereditary polymer chemistry? That question has significant answers regardless of what comes next.</w:t>
      </w:r>
    </w:p>
    <w:p>
      <w:pPr>
        <w:pBdr>
          <w:bottom w:val="single" w:color="1F4E79" w:sz="4" w:space="1"/>
        </w:pBdr>
        <w:spacing w:before="120" w:after="120"/>
      </w:pPr>
    </w:p>
    <w:p>
      <w:pPr>
        <w:pStyle w:val="Heading1"/>
      </w:pPr>
      <w:r>
        <w:rPr>
          <w:b/>
          <w:bCs/>
        </w:rPr>
        <w:t xml:space="preserve">6. Three-Year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4600"/>
        <w:gridCol w:w="3160"/>
      </w:tblGrid>
      <w:tr>
        <w:tc>
          <w:tcPr>
            <w:tcW w:type="dxa" w:w="16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Period</w:t>
            </w:r>
          </w:p>
        </w:tc>
        <w:tc>
          <w:tcPr>
            <w:tcW w:type="dxa" w:w="46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Activity</w:t>
            </w:r>
          </w:p>
        </w:tc>
        <w:tc>
          <w:tcPr>
            <w:tcW w:type="dxa" w:w="316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Milestone / Deliverable</w:t>
            </w:r>
          </w:p>
        </w:tc>
      </w:tr>
      <w:tr>
        <w:tc>
          <w:tcPr>
            <w:tcW w:type="dxa" w:w="16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Months 1–6</w:t>
            </w:r>
          </w:p>
        </w:tc>
        <w:tc>
          <w:tcPr>
            <w:tcW w:type="dxa" w:w="4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Reactor fabrication; mineral surface preparation; feedstock chemistry validation; polymerase engineering begins (concurrent)</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Reactor operational; baseline chemistry confirmed</w:t>
            </w:r>
          </w:p>
        </w:tc>
      </w:tr>
      <w:tr>
        <w:tc>
          <w:tcPr>
            <w:tcW w:type="dxa" w:w="16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Months 6–12</w:t>
            </w:r>
          </w:p>
        </w:tc>
        <w:tc>
          <w:tcPr>
            <w:tcW w:type="dxa" w:w="4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Stage I validation: redox/pH stability testing; vesicle formation screen; oligomer formation confirmation</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Stage I go/no-go gate at Month 12</w:t>
            </w:r>
          </w:p>
        </w:tc>
      </w:tr>
      <w:tr>
        <w:tc>
          <w:tcPr>
            <w:tcW w:type="dxa" w:w="16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Months 6–18</w:t>
            </w:r>
          </w:p>
        </w:tc>
        <w:tc>
          <w:tcPr>
            <w:tcW w:type="dxa" w:w="4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Stage II open polymer competition: TNA, RNA, FANA under reactor conditions; quasispecies dynamics monitored alongside individual fidelity</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Phase A go/no-go gate at Month 18 — fidelity OR quasispecies structure</w:t>
            </w:r>
          </w:p>
        </w:tc>
      </w:tr>
      <w:tr>
        <w:tc>
          <w:tcPr>
            <w:tcW w:type="dxa" w:w="16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Months 12–24</w:t>
            </w:r>
          </w:p>
        </w:tc>
        <w:tc>
          <w:tcPr>
            <w:tcW w:type="dxa" w:w="4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Stage III protocell formation: fatty acid screen; encapsulation trials; parasite surveillance protocol live</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First encapsulation data; Year 1 publication target</w:t>
            </w:r>
          </w:p>
        </w:tc>
      </w:tr>
      <w:tr>
        <w:tc>
          <w:tcPr>
            <w:tcW w:type="dxa" w:w="16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Months 18–24</w:t>
            </w:r>
          </w:p>
        </w:tc>
        <w:tc>
          <w:tcPr>
            <w:tcW w:type="dxa" w:w="4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Stage II winner identified; fidelity characterization completed; error rate under reactor noise quantified</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Primary fidelity result published — significant regardless of threshold crossing</w:t>
            </w:r>
          </w:p>
        </w:tc>
      </w:tr>
      <w:tr>
        <w:tc>
          <w:tcPr>
            <w:tcW w:type="dxa" w:w="16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Months 24–36</w:t>
            </w:r>
          </w:p>
        </w:tc>
        <w:tc>
          <w:tcPr>
            <w:tcW w:type="dxa" w:w="4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Stage III under selection: 50+ generation tracking; synchronization optimization; selective enrichment screen</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Stage III success criteria evaluation; final deliverables; Year 3 publication</w:t>
            </w:r>
          </w:p>
        </w:tc>
      </w:tr>
      <w:tr>
        <w:tc>
          <w:tcPr>
            <w:tcW w:type="dxa" w:w="16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Month 36</w:t>
            </w:r>
          </w:p>
        </w:tc>
        <w:tc>
          <w:tcPr>
            <w:tcW w:type="dxa" w:w="46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Full program review; Phase 2 proposal development if warranted</w:t>
            </w:r>
          </w:p>
        </w:tc>
        <w:tc>
          <w:tcPr>
            <w:tcW w:type="dxa" w:w="31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Complete dataset; biosignature framework paper; Phase 2 outline</w:t>
            </w:r>
          </w:p>
        </w:tc>
      </w:tr>
    </w:tbl>
    <w:p>
      <w:pPr>
        <w:spacing w:after="60"/>
      </w:pPr>
    </w:p>
    <w:p>
      <w:pPr>
        <w:pBdr>
          <w:bottom w:val="single" w:color="1F4E79" w:sz="4" w:space="1"/>
        </w:pBdr>
        <w:spacing w:before="120" w:after="120"/>
      </w:pPr>
    </w:p>
    <w:p>
      <w:pPr>
        <w:pStyle w:val="Heading1"/>
      </w:pPr>
      <w:r>
        <w:rPr>
          <w:b/>
          <w:bCs/>
        </w:rPr>
        <w:t xml:space="preserve">7. Budget Framework</w:t>
      </w:r>
    </w:p>
    <w:p>
      <w:pPr>
        <w:spacing w:before="40" w:after="140"/>
        <w:ind w:left="360"/>
      </w:pPr>
      <w:r>
        <w:rPr>
          <w:i/>
          <w:iCs/>
          <w:color w:val="666666"/>
          <w:sz w:val="20"/>
          <w:szCs w:val="20"/>
        </w:rPr>
        <w:t xml:space="preserve">[Placeholder: Full budget detail to be completed with institutional rates from UT Dallas research office. The framework below represents estimated cost categories for Caroline's review and institutional negotiation.]</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1200"/>
        <w:gridCol w:w="1200"/>
        <w:gridCol w:w="3560"/>
      </w:tblGrid>
      <w:tr>
        <w:tc>
          <w:tcPr>
            <w:tcW w:type="dxa" w:w="22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Category</w:t>
            </w:r>
          </w:p>
        </w:tc>
        <w:tc>
          <w:tcPr>
            <w:tcW w:type="dxa" w:w="12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Year 1</w:t>
            </w:r>
          </w:p>
        </w:tc>
        <w:tc>
          <w:tcPr>
            <w:tcW w:type="dxa" w:w="12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Year 2</w:t>
            </w:r>
          </w:p>
        </w:tc>
        <w:tc>
          <w:tcPr>
            <w:tcW w:type="dxa" w:w="12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Year 3</w:t>
            </w:r>
          </w:p>
        </w:tc>
        <w:tc>
          <w:tcPr>
            <w:tcW w:type="dxa" w:w="356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Notes</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Personnel — PI (50% effort)</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Caroline + institutional fringe rate</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Personnel — Graduate student (100%)</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Standard UT Dallas stipend + tuition</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Personnel — Undergraduate (part-time)</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Lab support during reactor build</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Microfluidic fabrication</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~$40K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~$10K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~$5K</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Clean room access + materials</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Sequencing (NGS)</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~$15K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~$40K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~$60K</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Scales with generation count in Stage III</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Chemicals and consumables</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~$25K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~$30K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~$30K</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Nucleotides, fatty acids, minerals, gases</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Analytical instruments (access/maintenance)</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~$15K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~$15K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~$15K</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HPLC, MALDI-TOF, fluorescence microscopy</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Travel (conferences + collaboration)</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~$8K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~$8K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~$8K</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Astrobiology Science Conference target</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Indirect costs</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[TBD]</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UT Dallas negotiated rate [PLACEHOLDER]</w:t>
            </w:r>
          </w:p>
        </w:tc>
      </w:tr>
      <w:tr>
        <w:tc>
          <w:tcPr>
            <w:tcW w:type="dxa" w:w="22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Estimated direct total</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~$200–280K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~$220–300K</w:t>
            </w:r>
          </w:p>
        </w:tc>
        <w:tc>
          <w:tcPr>
            <w:tcW w:type="dxa" w:w="12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~$230–320K</w:t>
            </w:r>
          </w:p>
        </w:tc>
        <w:tc>
          <w:tcPr>
            <w:tcW w:type="dxa" w:w="3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Excludes personnel and IDC</w:t>
            </w:r>
          </w:p>
        </w:tc>
      </w:tr>
    </w:tbl>
    <w:p>
      <w:pPr>
        <w:spacing w:after="60"/>
      </w:pPr>
    </w:p>
    <w:p>
      <w:pPr>
        <w:spacing w:after="160"/>
      </w:pPr>
      <w:r>
        <w:t xml:space="preserve">Target total (3 years, all-in): $1.35–2.1M depending on personnel rates and indirect cost rate. This fits within the NASA Exobiology program's typical award range of $500K–$1M per year.</w:t>
      </w:r>
    </w:p>
    <w:p>
      <w:pPr>
        <w:pBdr>
          <w:bottom w:val="single" w:color="1F4E79" w:sz="4" w:space="1"/>
        </w:pBdr>
        <w:spacing w:before="120" w:after="120"/>
      </w:pPr>
    </w:p>
    <w:p>
      <w:pPr>
        <w:pStyle w:val="Heading1"/>
      </w:pPr>
      <w:r>
        <w:rPr>
          <w:b/>
          <w:bCs/>
        </w:rPr>
        <w:t xml:space="preserve">8. Team and Qualifications</w:t>
      </w:r>
    </w:p>
    <w:p>
      <w:pPr>
        <w:spacing w:before="40" w:after="140"/>
        <w:ind w:left="360"/>
      </w:pPr>
      <w:r>
        <w:rPr>
          <w:i/>
          <w:iCs/>
          <w:color w:val="666666"/>
          <w:sz w:val="20"/>
          <w:szCs w:val="20"/>
        </w:rPr>
        <w:t xml:space="preserve">[Placeholder section — to be completed by Caroline with actual CV content, publication record, and relevant lab experience.]</w:t>
      </w:r>
    </w:p>
    <w:p>
      <w:pPr>
        <w:spacing w:after="60"/>
      </w:pPr>
    </w:p>
    <w:p>
      <w:pPr>
        <w:pStyle w:val="Heading2"/>
      </w:pPr>
      <w:r>
        <w:rPr>
          <w:b/>
          <w:bCs/>
        </w:rPr>
        <w:t xml:space="preserve">8.1 Principal Investigator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4"/>
              <w:left w:val="single" w:color="1F4E79" w:sz="4"/>
              <w:bottom w:val="single" w:color="1F4E79" w:sz="4"/>
              <w:right w:val="single" w:color="1F4E79" w:sz="4"/>
            </w:tcBorders>
            <w:shd w:fill="EBF3FB" w:val="clear"/>
            <w:tcMar>
              <w:top w:type="dxa" w:w="120"/>
              <w:left w:type="dxa" w:w="200"/>
              <w:bottom w:type="dxa" w:w="120"/>
              <w:right w:type="dxa" w:w="200"/>
            </w:tcMar>
          </w:tcPr>
          <w:p>
            <w:pPr>
              <w:spacing w:after="60"/>
            </w:pPr>
            <w:r>
              <w:rPr>
                <w:sz w:val="20"/>
                <w:szCs w:val="20"/>
              </w:rPr>
              <w:t xml:space="preserve">[PLACEHOLDER — Caroline [Last Name], PI]</w:t>
            </w:r>
          </w:p>
          <w:p>
            <w:pPr>
              <w:spacing w:after="60"/>
            </w:pPr>
            <w:r>
              <w:rPr>
                <w:sz w:val="20"/>
                <w:szCs w:val="20"/>
              </w:rPr>
              <w:t xml:space="preserve"/>
            </w:r>
          </w:p>
          <w:p>
            <w:pPr>
              <w:spacing w:after="60"/>
            </w:pPr>
            <w:r>
              <w:rPr>
                <w:sz w:val="20"/>
                <w:szCs w:val="20"/>
              </w:rPr>
              <w:t xml:space="preserve">Institution: University of Texas at Dallas</w:t>
            </w:r>
          </w:p>
          <w:p>
            <w:pPr>
              <w:spacing w:after="60"/>
            </w:pPr>
            <w:r>
              <w:rPr>
                <w:sz w:val="20"/>
                <w:szCs w:val="20"/>
              </w:rPr>
              <w:t xml:space="preserve">Current position: [Title] — Department of Biological Sciences</w:t>
            </w:r>
          </w:p>
          <w:p>
            <w:pPr>
              <w:spacing w:after="60"/>
            </w:pPr>
            <w:r>
              <w:rPr>
                <w:sz w:val="20"/>
                <w:szCs w:val="20"/>
              </w:rPr>
              <w:t xml:space="preserve">Research focus: [Brief description of organoid research and how it relates to this proposal]</w:t>
            </w:r>
          </w:p>
          <w:p>
            <w:pPr>
              <w:spacing w:after="60"/>
            </w:pPr>
            <w:r>
              <w:rPr>
                <w:sz w:val="20"/>
                <w:szCs w:val="20"/>
              </w:rPr>
              <w:t xml:space="preserve">Relevant expertise: Biochemistry (B.S., University of Arizona); cell biology; [additional skills]</w:t>
            </w:r>
          </w:p>
          <w:p>
            <w:pPr>
              <w:spacing w:after="60"/>
            </w:pPr>
            <w:r>
              <w:rPr>
                <w:sz w:val="20"/>
                <w:szCs w:val="20"/>
              </w:rPr>
              <w:t xml:space="preserve">Selected publications: [3–5 most relevant publications or preprints]</w:t>
            </w:r>
          </w:p>
          <w:p>
            <w:pPr>
              <w:spacing w:after="60"/>
            </w:pPr>
            <w:r>
              <w:rPr>
                <w:sz w:val="20"/>
                <w:szCs w:val="20"/>
              </w:rPr>
              <w:t xml:space="preserve">Lab infrastructure available: [Cell culture equipment, microscopy, sequencing access, etc.]</w:t>
            </w:r>
          </w:p>
          <w:p>
            <w:pPr>
              <w:spacing w:after="60"/>
            </w:pPr>
            <w:r>
              <w:rPr>
                <w:sz w:val="20"/>
                <w:szCs w:val="20"/>
              </w:rPr>
              <w:t xml:space="preserve"/>
            </w:r>
          </w:p>
          <w:p>
            <w:pPr>
              <w:spacing w:after="60"/>
            </w:pPr>
            <w:r>
              <w:rPr>
                <w:sz w:val="20"/>
                <w:szCs w:val="20"/>
              </w:rPr>
              <w:t xml:space="preserve">Note for Caroline: Your organoid research experience is directly relevant here in an</w:t>
            </w:r>
          </w:p>
          <w:p>
            <w:pPr>
              <w:spacing w:after="60"/>
            </w:pPr>
            <w:r>
              <w:rPr>
                <w:sz w:val="20"/>
                <w:szCs w:val="20"/>
              </w:rPr>
              <w:t xml:space="preserve">underappreciated way. Organoids are scaffolded, ecosystem-dependent biological systems</w:t>
            </w:r>
          </w:p>
          <w:p>
            <w:pPr>
              <w:spacing w:after="60"/>
            </w:pPr>
            <w:r>
              <w:rPr>
                <w:sz w:val="20"/>
                <w:szCs w:val="20"/>
              </w:rPr>
              <w:t xml:space="preserve">that require external support to maintain viability — conceptually adjacent to the</w:t>
            </w:r>
          </w:p>
          <w:p>
            <w:pPr>
              <w:spacing w:after="60"/>
            </w:pPr>
            <w:r>
              <w:rPr>
                <w:sz w:val="20"/>
                <w:szCs w:val="20"/>
              </w:rPr>
              <w:t xml:space="preserve">reactor-dependent protocell system proposed here. This connection is worth one paragraph</w:t>
            </w:r>
          </w:p>
          <w:p>
            <w:pPr>
              <w:spacing w:after="60"/>
            </w:pPr>
            <w:r>
              <w:rPr>
                <w:sz w:val="20"/>
                <w:szCs w:val="20"/>
              </w:rPr>
              <w:t xml:space="preserve">in the PI qualifications section to establish that the PI brings direct relevant experience</w:t>
            </w:r>
          </w:p>
          <w:p>
            <w:pPr>
              <w:spacing w:after="60"/>
            </w:pPr>
            <w:r>
              <w:rPr>
                <w:sz w:val="20"/>
                <w:szCs w:val="20"/>
              </w:rPr>
              <w:t xml:space="preserve">in scaffolded biology, not just general biochemistry.</w:t>
            </w:r>
          </w:p>
        </w:tc>
      </w:tr>
    </w:tbl>
    <w:p>
      <w:pPr>
        <w:spacing w:after="60"/>
      </w:pPr>
    </w:p>
    <w:p>
      <w:pPr>
        <w:pStyle w:val="Heading2"/>
      </w:pPr>
      <w:r>
        <w:rPr>
          <w:b/>
          <w:bCs/>
        </w:rPr>
        <w:t xml:space="preserve">8.2 Conceptual Architect (Non-Institutional Contributor)</w:t>
      </w:r>
    </w:p>
    <w:p>
      <w:pPr>
        <w:spacing w:after="160"/>
      </w:pPr>
      <w:r>
        <w:t xml:space="preserve">The scientific framework, experimental roadmap, and proposal architecture were developed by Jim [Last Name], a retired electrical engineer working as an independent researcher in collaboration with AI tools (Anthropic Claude). Jim's engineering background contributed the quantitative constraint analysis, staged decision-tree structure, go/no-go criteria design, and forward-compatibility thinking between reactor design and energy coupling. He is not seeking institutional affiliation or salary support from this grant. His contribution is intellectual and has been reviewed for scientific accuracy by AI systems and a human biochemist reviewer (see Appendix). All primary scientific claims have been verified against the cited primary literature.</w:t>
      </w:r>
    </w:p>
    <w:p>
      <w:pPr>
        <w:spacing w:after="160"/>
      </w:pPr>
      <w:r>
        <w:t xml:space="preserve">NASA's ROSES-25 policy permits AI-assisted proposal development with disclosure, which is provided in the cover table. The scientific content is the product of the proposal team; AI served as a research synthesis and writing tool.</w:t>
      </w:r>
    </w:p>
    <w:p>
      <w:pPr>
        <w:pBdr>
          <w:bottom w:val="single" w:color="1F4E79" w:sz="4" w:space="1"/>
        </w:pBdr>
        <w:spacing w:before="120" w:after="120"/>
      </w:pPr>
    </w:p>
    <w:p>
      <w:pPr>
        <w:pStyle w:val="Heading1"/>
      </w:pPr>
      <w:r>
        <w:rPr>
          <w:b/>
          <w:bCs/>
        </w:rPr>
        <w:t xml:space="preserve">9. Ethical Considerations and Planetary Protection</w:t>
      </w:r>
    </w:p>
    <w:p>
      <w:pPr>
        <w:pStyle w:val="Heading2"/>
      </w:pPr>
      <w:r>
        <w:rPr>
          <w:b/>
          <w:bCs/>
        </w:rPr>
        <w:t xml:space="preserve">9.1 Biosafety and Containment</w:t>
      </w:r>
    </w:p>
    <w:p>
      <w:pPr>
        <w:spacing w:after="160"/>
      </w:pPr>
      <w:r>
        <w:t xml:space="preserve">The reactor-dependent nature of Phase 1 systems provides intrinsic containment. Any replicating chemical system that emerges in Stages I–III requires the reactor's continuous supply of activated monomers, controlled redox gradients, and specific temperature cycling to maintain informational continuity. Removal from the reactor environment results in immediate thermodynamic collapse of the replicating system. This is not a designed containment feature — it is a necessary consequence of the scaffolded dependency strategy. The system cannot survive outside its environment by definition.</w:t>
      </w:r>
    </w:p>
    <w:p>
      <w:pPr>
        <w:spacing w:after="160"/>
      </w:pPr>
      <w:r>
        <w:t xml:space="preserve">This intrinsic containment is relevant to NASA's Office of Planetary Protection. The reactor-dependent systems produced in Phase 1 pose no ecological release risk — they are less viable outside the reactor than most laboratory reagents. Biosafety classification: BSL-1 equivalent.</w:t>
      </w:r>
    </w:p>
    <w:p>
      <w:pPr>
        <w:pStyle w:val="Heading2"/>
      </w:pPr>
      <w:r>
        <w:rPr>
          <w:b/>
          <w:bCs/>
        </w:rPr>
        <w:t xml:space="preserve">9.2 Ethical Governance</w:t>
      </w:r>
    </w:p>
    <w:p>
      <w:pPr>
        <w:spacing w:after="160"/>
      </w:pPr>
      <w:r>
        <w:t xml:space="preserve">Phase 1 systems — chemical replicators without translation, metabolism, or neural analog — present no credible moral status concern. The relevant ethical framework is dual-use risk from techniques (engineered polymerases, microfluidic evolution platforms, protocell encapsulation methods) rather than from the organisms themselves. Pre-publication biosecurity review is committed for any results that could inform development of novel replicative systems outside the research context.</w:t>
      </w:r>
    </w:p>
    <w:p>
      <w:pPr>
        <w:spacing w:after="160"/>
      </w:pPr>
      <w:r>
        <w:t xml:space="preserve">A pre-registered demarcation protocol will be filed with the PI's institution before Stage III commences. The protocol specifies exact criteria for what constitutes a 'successful hereditary system' and designates an independent scientific evaluator to assess milestone claims against pre-registered criteria. This prevents post-hoc redefinition of success.</w:t>
      </w:r>
    </w:p>
    <w:p>
      <w:pPr>
        <w:pBdr>
          <w:bottom w:val="single" w:color="1F4E79" w:sz="4" w:space="1"/>
        </w:pBdr>
        <w:spacing w:before="120" w:after="120"/>
      </w:pPr>
    </w:p>
    <w:p>
      <w:pPr>
        <w:pStyle w:val="Heading1"/>
      </w:pPr>
      <w:r>
        <w:rPr>
          <w:b/>
          <w:bCs/>
        </w:rPr>
        <w:t xml:space="preserve">10. References</w:t>
      </w:r>
    </w:p>
    <w:p>
      <w:pPr>
        <w:spacing w:after="80"/>
      </w:pPr>
      <w:r>
        <w:rPr>
          <w:sz w:val="20"/>
          <w:szCs w:val="20"/>
        </w:rPr>
        <w:t xml:space="preserve">1. Harada, R., Nishimura, Y., Nomura, M., Yabuki, A., Shiba, K., Inaba, K., &amp; Nakayama, T. (2025). A cellular entity retaining only its replicative core: Hidden archaeal lineage with an ultra-reduced genome. bioRxiv, 2025.05.02.651781.</w:t>
      </w:r>
    </w:p>
    <w:p>
      <w:pPr>
        <w:spacing w:after="80"/>
      </w:pPr>
      <w:r>
        <w:rPr>
          <w:sz w:val="20"/>
          <w:szCs w:val="20"/>
        </w:rPr>
        <w:t xml:space="preserve">2. Hutchison, C. A. et al. (2016). Design and synthesis of a minimal bacterial genome. Science, 351(6280), aad6253.</w:t>
      </w:r>
    </w:p>
    <w:p>
      <w:pPr>
        <w:spacing w:after="80"/>
      </w:pPr>
      <w:r>
        <w:rPr>
          <w:sz w:val="20"/>
          <w:szCs w:val="20"/>
        </w:rPr>
        <w:t xml:space="preserve">3. Eigen, M. (1971). Self-organization of matter and the evolution of biological macromolecules. Die Naturwissenschaften, 58(10), 465–523.</w:t>
      </w:r>
    </w:p>
    <w:p>
      <w:pPr>
        <w:spacing w:after="80"/>
      </w:pPr>
      <w:r>
        <w:rPr>
          <w:sz w:val="20"/>
          <w:szCs w:val="20"/>
        </w:rPr>
        <w:t xml:space="preserve">4. Rajamani, S. et al. (2010). Effect of stalling after mismatches on the error catastrophe in nonenzymatic nucleic acid replication. Journal of the American Chemical Society, 132(16), 5880–5885.</w:t>
      </w:r>
    </w:p>
    <w:p>
      <w:pPr>
        <w:spacing w:after="80"/>
      </w:pPr>
      <w:r>
        <w:rPr>
          <w:sz w:val="20"/>
          <w:szCs w:val="20"/>
        </w:rPr>
        <w:t xml:space="preserve">5. Non-enzymatic error correction model. (2025). Non-enzymatic error correction in self-replicators without extraneous energy supply. Scientific Reports.</w:t>
      </w:r>
    </w:p>
    <w:p>
      <w:pPr>
        <w:spacing w:after="80"/>
      </w:pPr>
      <w:r>
        <w:rPr>
          <w:sz w:val="20"/>
          <w:szCs w:val="20"/>
        </w:rPr>
        <w:t xml:space="preserve">6. Colville, B. W. F. &amp; Powner, M. W. (2022). Prebiotic synthesis and triphosphorylation of 3'-amino-TNA nucleosides. Nature Chemistry, 14, 1237–1244.</w:t>
      </w:r>
    </w:p>
    <w:p>
      <w:pPr>
        <w:spacing w:after="80"/>
      </w:pPr>
      <w:r>
        <w:rPr>
          <w:sz w:val="20"/>
          <w:szCs w:val="20"/>
        </w:rPr>
        <w:t xml:space="preserve">7. Lee, E. M. et al. (2023). Stability and mechanism of threose nucleic acid toward acid-mediated degradation. Nucleic Acids Research, 51(18), 9542–9551.</w:t>
      </w:r>
    </w:p>
    <w:p>
      <w:pPr>
        <w:spacing w:after="80"/>
      </w:pPr>
      <w:r>
        <w:rPr>
          <w:sz w:val="20"/>
          <w:szCs w:val="20"/>
        </w:rPr>
        <w:t xml:space="preserve">8. Wang, Y. et al. (2025). A TNA enzyme catalyzing native 3'-5' ligation of RNA. Journal of the American Chemical Society, 147(21), 18349–18358.</w:t>
      </w:r>
    </w:p>
    <w:p>
      <w:pPr>
        <w:spacing w:after="80"/>
      </w:pPr>
      <w:r>
        <w:rPr>
          <w:sz w:val="20"/>
          <w:szCs w:val="20"/>
        </w:rPr>
        <w:t xml:space="preserve">9. Szostak, J. W. (2016). Nonenzymatic template copying of RNA enabled by activated oligonucleotides. eLife, 5, e17756.</w:t>
      </w:r>
    </w:p>
    <w:p>
      <w:pPr>
        <w:spacing w:after="80"/>
      </w:pPr>
      <w:r>
        <w:rPr>
          <w:sz w:val="20"/>
          <w:szCs w:val="20"/>
        </w:rPr>
        <w:t xml:space="preserve">10. Pinheiro, V. B. et al. (2012). Synthetic genetic polymers capable of heredity and evolution. Science, 336(6079), 341–344.</w:t>
      </w:r>
    </w:p>
    <w:p>
      <w:pPr>
        <w:spacing w:after="80"/>
      </w:pPr>
      <w:r>
        <w:rPr>
          <w:sz w:val="20"/>
          <w:szCs w:val="20"/>
        </w:rPr>
        <w:t xml:space="preserve">11. RNA-peptide coacervate ribozyme enhancement. (2025). RNA-peptide interactions tune the ribozyme activity within coacervate microdroplet dispersions. Nature Communications.</w:t>
      </w:r>
    </w:p>
    <w:p>
      <w:pPr>
        <w:spacing w:after="80"/>
      </w:pPr>
      <w:r>
        <w:rPr>
          <w:sz w:val="20"/>
          <w:szCs w:val="20"/>
        </w:rPr>
        <w:t xml:space="preserve">12. Hand, K. P. et al. (2020). On the habitability of Europa's subsurface ocean. Astrobiology, 20(11), 1394–1418.</w:t>
      </w:r>
    </w:p>
    <w:p>
      <w:pPr>
        <w:spacing w:after="80"/>
      </w:pPr>
      <w:r>
        <w:rPr>
          <w:sz w:val="20"/>
          <w:szCs w:val="20"/>
        </w:rPr>
        <w:t xml:space="preserve">13. Waite, J. H. et al. (2017). Cassini finds molecular hydrogen in the Enceladus plume: Evidence for hydrothermal processes. Science, 356(6334), 155–159.</w:t>
      </w:r>
    </w:p>
    <w:p>
      <w:pPr>
        <w:spacing w:after="80"/>
      </w:pPr>
      <w:r>
        <w:rPr>
          <w:sz w:val="20"/>
          <w:szCs w:val="20"/>
        </w:rPr>
        <w:t xml:space="preserve">14. Tosca, N. J. et al. (2019). Magnetite authigenesis and the warming of early Mars. Nature Geoscience, 11(9), 635–639.</w:t>
      </w:r>
    </w:p>
    <w:p>
      <w:pPr>
        <w:spacing w:after="80"/>
      </w:pPr>
      <w:r>
        <w:rPr>
          <w:sz w:val="20"/>
          <w:szCs w:val="20"/>
        </w:rPr>
        <w:t xml:space="preserve">15. Waters, E. et al. (2003). The genome of Nanoarchaeum equitans: Insights into early archaeal evolution. PNAS, 100(22), 12984–12988.</w:t>
      </w:r>
    </w:p>
    <w:p>
      <w:pPr>
        <w:spacing w:after="80"/>
      </w:pPr>
      <w:r>
        <w:rPr>
          <w:sz w:val="20"/>
          <w:szCs w:val="20"/>
        </w:rPr>
        <w:t xml:space="preserve">16. Mitchell, P. (1961). Coupling of phosphorylation to electron and hydrogen transfer by a chemi-osmotic type of mechanism. Nature, 191, 144–148. [Nobel Prize in Chemistry, 1978]</w:t>
      </w:r>
    </w:p>
    <w:p>
      <w:pPr>
        <w:spacing w:after="80"/>
      </w:pPr>
      <w:r>
        <w:rPr>
          <w:sz w:val="20"/>
          <w:szCs w:val="20"/>
        </w:rPr>
        <w:t xml:space="preserve">17. Lane, N. &amp; Martin, W. F. (2012). The origin of membrane bioenergetics. Cell, 151(7), 1406–1416.</w:t>
      </w:r>
    </w:p>
    <w:p>
      <w:pPr>
        <w:spacing w:after="80"/>
      </w:pPr>
      <w:r>
        <w:rPr>
          <w:sz w:val="20"/>
          <w:szCs w:val="20"/>
        </w:rPr>
        <w:t xml:space="preserve">18. Russell, M. J. &amp; Martin, W. (2004). The rocky roots of the acetyl-CoA pathway. Trends in Biochemical Sciences, 29(7), 358–363.</w:t>
      </w:r>
    </w:p>
    <w:p>
      <w:pPr>
        <w:spacing w:after="80"/>
      </w:pPr>
      <w:r>
        <w:rPr>
          <w:sz w:val="20"/>
          <w:szCs w:val="20"/>
        </w:rPr>
        <w:t xml:space="preserve">19. Eigen, M. &amp; Schuster, P. (1977). The hypercycle. A principle of natural self-organization. Part A: Emergence of the hypercycle. Naturwissenschaften, 64(11), 541–565.</w:t>
      </w:r>
    </w:p>
    <w:p>
      <w:pPr>
        <w:spacing w:after="80"/>
      </w:pPr>
      <w:r>
        <w:rPr>
          <w:sz w:val="20"/>
          <w:szCs w:val="20"/>
        </w:rPr>
        <w:t xml:space="preserve">20. Szostak, J. W., Bartel, D. P., &amp; Luisi, P. L. (2001). Synthesizing life. Nature, 409, 387–390.</w:t>
      </w:r>
    </w:p>
    <w:p>
      <w:pPr>
        <w:spacing w:after="80"/>
      </w:pPr>
      <w:r>
        <w:rPr>
          <w:sz w:val="20"/>
          <w:szCs w:val="20"/>
        </w:rPr>
        <w:t xml:space="preserve">21. Noller, H. F. (2012). Evolution of protein synthesis from an RNA world. Cold Spring Harbor Perspectives in Biology, 4(4), a003681.</w:t>
      </w:r>
    </w:p>
    <w:p>
      <w:pPr>
        <w:spacing w:after="80"/>
      </w:pPr>
      <w:r>
        <w:rPr>
          <w:sz w:val="20"/>
          <w:szCs w:val="20"/>
        </w:rPr>
        <w:t xml:space="preserve">22. Leu, K. et al. (2011). The prebiotic evolutionary advantage of transferring genetic information from RNA to DNA. Nucleic Acids Research, 39(18), 8135–8147.</w:t>
      </w:r>
    </w:p>
    <w:p>
      <w:pPr>
        <w:spacing w:after="80"/>
      </w:pPr>
      <w:r>
        <w:rPr>
          <w:sz w:val="20"/>
          <w:szCs w:val="20"/>
        </w:rPr>
        <w:t xml:space="preserve">23. Sutherland, J. D. (2016). The origin of life: Out of the blue. Angewandte Chemie International Edition, 55(1), 104–121.</w:t>
      </w:r>
    </w:p>
    <w:p>
      <w:pPr>
        <w:pBdr>
          <w:bottom w:val="single" w:color="1F4E79" w:sz="4" w:space="1"/>
        </w:pBdr>
        <w:spacing w:before="120" w:after="120"/>
      </w:pPr>
    </w:p>
    <w:p>
      <w:pPr>
        <w:pStyle w:val="Heading1"/>
      </w:pPr>
      <w:r>
        <w:rPr>
          <w:b/>
          <w:bCs/>
        </w:rPr>
        <w:t xml:space="preserve">Appendix: Checklist — What Caroline Needs to Add or Confirm</w:t>
      </w:r>
    </w:p>
    <w:p>
      <w:pPr>
        <w:spacing w:before="40" w:after="140"/>
        <w:ind w:left="360"/>
      </w:pPr>
      <w:r>
        <w:rPr>
          <w:i/>
          <w:iCs/>
          <w:color w:val="666666"/>
          <w:sz w:val="20"/>
          <w:szCs w:val="20"/>
        </w:rPr>
        <w:t xml:space="preserve">This appendix is for internal use only and would be removed before submission.</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4560"/>
        <w:gridCol w:w="1800"/>
      </w:tblGrid>
      <w:tr>
        <w:tc>
          <w:tcPr>
            <w:tcW w:type="dxa" w:w="30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Item</w:t>
            </w:r>
          </w:p>
        </w:tc>
        <w:tc>
          <w:tcPr>
            <w:tcW w:type="dxa" w:w="456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Action Required</w:t>
            </w:r>
          </w:p>
        </w:tc>
        <w:tc>
          <w:tcPr>
            <w:tcW w:type="dxa" w:w="1800"/>
            <w:tcBorders>
              <w:top w:val="single" w:color="CCCCCC" w:sz="3"/>
              <w:left w:val="single" w:color="CCCCCC" w:sz="3"/>
              <w:bottom w:val="single" w:color="CCCCCC" w:sz="3"/>
              <w:right w:val="single" w:color="CCCCCC" w:sz="3"/>
            </w:tcBorders>
            <w:shd w:fill="1F4E79" w:val="clear"/>
            <w:tcMar>
              <w:top w:type="dxa" w:w="80"/>
              <w:left w:type="dxa" w:w="120"/>
              <w:bottom w:type="dxa" w:w="80"/>
              <w:right w:type="dxa" w:w="120"/>
            </w:tcMar>
          </w:tcPr>
          <w:p>
            <w:r>
              <w:rPr>
                <w:b/>
                <w:bCs/>
                <w:i w:val="false"/>
                <w:iCs w:val="false"/>
                <w:color w:val="FFFFFF"/>
                <w:sz w:val="20"/>
                <w:szCs w:val="20"/>
              </w:rPr>
              <w:t xml:space="preserve">Priority</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PI name and title</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Add full name, title, institutional affiliation</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Critical</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PI biographical sketch</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Complete Section 8.1 with CV, publications, relevant lab experience</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Critical</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Institutional indirect cost rate</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Obtain from UT Dallas research office; insert in budget table</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Critical</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Personnel budget detail</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PI effort level, student stipend rates, fringe rates from UT Dallas</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Critical</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Lab infrastructure confirmation</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Confirm access to: clean room or microfluidic fabrication, HPLC, MALDI-TOF, fluorescence microscopy, NGS sequencing</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High</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Organoid research connection</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Write 1 paragraph in Section 8.1 connecting organoid scaffold biology to protocell scaffold strategy</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High</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Preliminary data (if any)</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If any existing lab work touches on vesicle formation, polymer chemistry, or microfluidics — include as preliminary data. Even tangential data strengthens the proposal.</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High</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Collaborator letters</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If colleagues at UT Dallas or elsewhere have relevant expertise (microfluidics engineering, sequencing, planetary science), letters of collaboration strengthen the proposal</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Medium</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Current and pending support</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NASA requires disclosure of all current and pending funding per ROSES-25 rules</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Required for submission</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NSPIRES account</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PI must have an active NSPIRES account and institutional registration at UT Dallas</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Required for submission</w:t>
            </w:r>
          </w:p>
        </w:tc>
      </w:tr>
      <w:tr>
        <w:tc>
          <w:tcPr>
            <w:tcW w:type="dxa" w:w="3000"/>
            <w:tcBorders>
              <w:top w:val="single" w:color="CCCCCC" w:sz="3"/>
              <w:left w:val="single" w:color="CCCCCC" w:sz="3"/>
              <w:bottom w:val="single" w:color="CCCCCC" w:sz="3"/>
              <w:right w:val="single" w:color="CCCCCC" w:sz="3"/>
            </w:tcBorders>
            <w:shd w:fill="EBF3FB" w:val="clear"/>
            <w:tcMar>
              <w:top w:type="dxa" w:w="80"/>
              <w:left w:type="dxa" w:w="120"/>
              <w:bottom w:type="dxa" w:w="80"/>
              <w:right w:type="dxa" w:w="120"/>
            </w:tcMar>
          </w:tcPr>
          <w:p>
            <w:r>
              <w:rPr>
                <w:b/>
                <w:bCs/>
                <w:i w:val="false"/>
                <w:iCs w:val="false"/>
                <w:color w:val="000000"/>
                <w:sz w:val="20"/>
                <w:szCs w:val="20"/>
              </w:rPr>
              <w:t xml:space="preserve">AI disclosure review</w:t>
            </w:r>
          </w:p>
        </w:tc>
        <w:tc>
          <w:tcPr>
            <w:tcW w:type="dxa" w:w="456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Confirm the AI disclosure language in the cover table accurately reflects your understanding of how the proposal was developed</w:t>
            </w:r>
          </w:p>
        </w:tc>
        <w:tc>
          <w:tcPr>
            <w:tcW w:type="dxa" w:w="1800"/>
            <w:tcBorders>
              <w:top w:val="single" w:color="CCCCCC" w:sz="3"/>
              <w:left w:val="single" w:color="CCCCCC" w:sz="3"/>
              <w:bottom w:val="single" w:color="CCCCCC" w:sz="3"/>
              <w:right w:val="single" w:color="CCCCCC" w:sz="3"/>
            </w:tcBorders>
            <w:shd w:fill="FFFFFF" w:val="clear"/>
            <w:tcMar>
              <w:top w:type="dxa" w:w="80"/>
              <w:left w:type="dxa" w:w="120"/>
              <w:bottom w:type="dxa" w:w="80"/>
              <w:right w:type="dxa" w:w="120"/>
            </w:tcMar>
          </w:tcPr>
          <w:p>
            <w:r>
              <w:rPr>
                <w:b w:val="false"/>
                <w:bCs w:val="false"/>
                <w:i w:val="false"/>
                <w:iCs w:val="false"/>
                <w:color w:val="000000"/>
                <w:sz w:val="20"/>
                <w:szCs w:val="20"/>
              </w:rPr>
              <w:t xml:space="preserve">Required</w:t>
            </w:r>
          </w:p>
        </w:tc>
      </w:tr>
    </w:tbl>
    <w:p>
      <w:pPr>
        <w:spacing w:after="60"/>
      </w:pPr>
    </w:p>
    <w:p>
      <w:pPr>
        <w:spacing w:after="160"/>
      </w:pPr>
      <w:r>
        <w:t xml:space="preserve">The proposal is complete and submission-ready in terms of scientific content. The items above are administrative and personal-credential requirements that only Caroline can provide. Estimated time to complete these items: 2–4 weeks with research office support.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4E79"/>
      <w:sz w:val="30"/>
      <w:szCs w:val="30"/>
    </w:rPr>
  </w:style>
  <w:style w:type="paragraph" w:styleId="Heading2">
    <w:name w:val="Heading 2"/>
    <w:basedOn w:val="Normal"/>
    <w:next w:val="Normal"/>
    <w:qFormat/>
    <w:pPr>
      <w:spacing w:before="200" w:after="12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2026-03-10T23:48:08.763Z</dcterms:created>
  <dcterms:modified xsi:type="dcterms:W3CDTF">2026-03-10T23:48:08.764Z</dcterms:modified>
</cp:coreProperties>
</file>

<file path=docProps/custom.xml><?xml version="1.0" encoding="utf-8"?>
<Properties xmlns="http://schemas.openxmlformats.org/officeDocument/2006/custom-properties" xmlns:vt="http://schemas.openxmlformats.org/officeDocument/2006/docPropsVTypes"/>
</file>